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1F" w:rsidRPr="002A471D" w:rsidRDefault="0072761F" w:rsidP="00F955D3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A4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Перелік теоретичних питань до </w:t>
      </w:r>
      <w:r w:rsidR="00EA1374" w:rsidRPr="002A4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r w:rsidRPr="002A4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ідсумкового модульного контролю</w:t>
      </w:r>
      <w:r w:rsidR="002A4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 w:rsidRPr="002A4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 дисципліни «Біофармація»</w:t>
      </w:r>
    </w:p>
    <w:p w:rsidR="00151532" w:rsidRPr="002A471D" w:rsidRDefault="00151532" w:rsidP="00F955D3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2761F" w:rsidRPr="00F955D3" w:rsidRDefault="00F955D3" w:rsidP="00F955D3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</w:rPr>
      </w:pPr>
      <w:bookmarkStart w:id="0" w:name="_GoBack"/>
      <w:r w:rsidRPr="00F955D3">
        <w:rPr>
          <w:szCs w:val="28"/>
        </w:rPr>
        <w:t>В</w:t>
      </w:r>
      <w:r w:rsidR="0047074C" w:rsidRPr="00F955D3">
        <w:rPr>
          <w:szCs w:val="28"/>
        </w:rPr>
        <w:t>изначення б</w:t>
      </w:r>
      <w:r w:rsidR="0072761F" w:rsidRPr="00F955D3">
        <w:rPr>
          <w:szCs w:val="28"/>
        </w:rPr>
        <w:t>іофармаці</w:t>
      </w:r>
      <w:r w:rsidR="0047074C" w:rsidRPr="00F955D3">
        <w:rPr>
          <w:szCs w:val="28"/>
        </w:rPr>
        <w:t>ї</w:t>
      </w:r>
      <w:r w:rsidR="0072761F" w:rsidRPr="00F955D3">
        <w:rPr>
          <w:szCs w:val="28"/>
        </w:rPr>
        <w:t>, як науков</w:t>
      </w:r>
      <w:r w:rsidR="0047074C" w:rsidRPr="00F955D3">
        <w:rPr>
          <w:szCs w:val="28"/>
        </w:rPr>
        <w:t>ої</w:t>
      </w:r>
      <w:r w:rsidR="0072761F" w:rsidRPr="00F955D3">
        <w:rPr>
          <w:szCs w:val="28"/>
        </w:rPr>
        <w:t xml:space="preserve"> дисциплін</w:t>
      </w:r>
      <w:r w:rsidR="0047074C" w:rsidRPr="00F955D3">
        <w:rPr>
          <w:szCs w:val="28"/>
        </w:rPr>
        <w:t>и</w:t>
      </w:r>
      <w:r w:rsidR="00151532" w:rsidRPr="00F955D3">
        <w:rPr>
          <w:szCs w:val="28"/>
        </w:rPr>
        <w:t>.</w:t>
      </w:r>
      <w:r w:rsidRPr="00F955D3">
        <w:rPr>
          <w:szCs w:val="28"/>
        </w:rPr>
        <w:t xml:space="preserve"> </w:t>
      </w:r>
      <w:r w:rsidR="00151532" w:rsidRPr="00F955D3">
        <w:rPr>
          <w:szCs w:val="28"/>
        </w:rPr>
        <w:t>І</w:t>
      </w:r>
      <w:r w:rsidR="0072761F" w:rsidRPr="00F955D3">
        <w:rPr>
          <w:color w:val="auto"/>
          <w:szCs w:val="28"/>
        </w:rPr>
        <w:t>сторі</w:t>
      </w:r>
      <w:r w:rsidR="00151532" w:rsidRPr="00F955D3">
        <w:rPr>
          <w:color w:val="auto"/>
          <w:szCs w:val="28"/>
        </w:rPr>
        <w:t>я зародження та</w:t>
      </w:r>
      <w:r w:rsidR="0072761F" w:rsidRPr="00F955D3">
        <w:rPr>
          <w:color w:val="auto"/>
          <w:szCs w:val="28"/>
        </w:rPr>
        <w:t xml:space="preserve"> </w:t>
      </w:r>
      <w:r w:rsidR="00151532" w:rsidRPr="00F955D3">
        <w:rPr>
          <w:color w:val="auto"/>
          <w:szCs w:val="28"/>
        </w:rPr>
        <w:t>становл</w:t>
      </w:r>
      <w:r w:rsidR="0072761F" w:rsidRPr="00F955D3">
        <w:rPr>
          <w:color w:val="auto"/>
          <w:szCs w:val="28"/>
        </w:rPr>
        <w:t>ення</w:t>
      </w:r>
      <w:r w:rsidR="00151532" w:rsidRPr="00F955D3">
        <w:rPr>
          <w:color w:val="auto"/>
          <w:szCs w:val="28"/>
        </w:rPr>
        <w:t xml:space="preserve"> біофармації</w:t>
      </w:r>
      <w:r w:rsidR="0072761F" w:rsidRPr="00F955D3">
        <w:rPr>
          <w:color w:val="auto"/>
          <w:szCs w:val="28"/>
        </w:rPr>
        <w:t>.</w:t>
      </w:r>
      <w:r w:rsidR="00151532" w:rsidRPr="00F955D3">
        <w:rPr>
          <w:color w:val="auto"/>
          <w:szCs w:val="28"/>
        </w:rPr>
        <w:t xml:space="preserve"> </w:t>
      </w:r>
    </w:p>
    <w:p w:rsidR="002E325B" w:rsidRPr="00F955D3" w:rsidRDefault="0047074C" w:rsidP="00F955D3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</w:rPr>
      </w:pPr>
      <w:r w:rsidRPr="00F955D3">
        <w:rPr>
          <w:color w:val="auto"/>
          <w:szCs w:val="28"/>
        </w:rPr>
        <w:t>Основні завдання біофармації, як науки.</w:t>
      </w:r>
      <w:r w:rsidR="00F955D3" w:rsidRPr="00F955D3">
        <w:rPr>
          <w:color w:val="auto"/>
          <w:szCs w:val="28"/>
        </w:rPr>
        <w:t xml:space="preserve"> </w:t>
      </w:r>
      <w:bookmarkStart w:id="1" w:name="_Hlk504619996"/>
      <w:r w:rsidR="00F955D3" w:rsidRPr="00F955D3">
        <w:rPr>
          <w:color w:val="auto"/>
          <w:szCs w:val="28"/>
        </w:rPr>
        <w:t>К</w:t>
      </w:r>
      <w:r w:rsidR="002E325B" w:rsidRPr="00F955D3">
        <w:rPr>
          <w:color w:val="auto"/>
          <w:szCs w:val="28"/>
        </w:rPr>
        <w:t>ласифікаці</w:t>
      </w:r>
      <w:r w:rsidR="00F955D3" w:rsidRPr="00F955D3">
        <w:rPr>
          <w:color w:val="auto"/>
          <w:szCs w:val="28"/>
        </w:rPr>
        <w:t>я</w:t>
      </w:r>
      <w:r w:rsidR="002E325B" w:rsidRPr="00F955D3">
        <w:rPr>
          <w:color w:val="auto"/>
          <w:szCs w:val="28"/>
        </w:rPr>
        <w:t xml:space="preserve"> фармацевтичних чинників.</w:t>
      </w:r>
    </w:p>
    <w:p w:rsidR="0072761F" w:rsidRPr="002A471D" w:rsidRDefault="002E325B" w:rsidP="00F955D3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</w:rPr>
      </w:pPr>
      <w:r w:rsidRPr="002A471D">
        <w:rPr>
          <w:color w:val="auto"/>
          <w:szCs w:val="28"/>
        </w:rPr>
        <w:t>П</w:t>
      </w:r>
      <w:r w:rsidR="0072761F" w:rsidRPr="002A471D">
        <w:rPr>
          <w:color w:val="auto"/>
          <w:szCs w:val="28"/>
        </w:rPr>
        <w:t>остійн</w:t>
      </w:r>
      <w:r w:rsidRPr="002A471D">
        <w:rPr>
          <w:color w:val="auto"/>
          <w:szCs w:val="28"/>
        </w:rPr>
        <w:t xml:space="preserve">і </w:t>
      </w:r>
      <w:r w:rsidR="00EA1374" w:rsidRPr="002A471D">
        <w:rPr>
          <w:color w:val="auto"/>
          <w:szCs w:val="28"/>
        </w:rPr>
        <w:t xml:space="preserve">та перемінні </w:t>
      </w:r>
      <w:r w:rsidRPr="002A471D">
        <w:rPr>
          <w:color w:val="auto"/>
          <w:szCs w:val="28"/>
        </w:rPr>
        <w:t>фармацевтичні чинники</w:t>
      </w:r>
      <w:r w:rsidR="0072761F" w:rsidRPr="002A471D">
        <w:rPr>
          <w:color w:val="auto"/>
          <w:szCs w:val="28"/>
        </w:rPr>
        <w:t>.</w:t>
      </w:r>
      <w:bookmarkEnd w:id="1"/>
    </w:p>
    <w:p w:rsidR="0093166D" w:rsidRPr="002A471D" w:rsidRDefault="00F955D3" w:rsidP="00F955D3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</w:rPr>
      </w:pPr>
      <w:r>
        <w:rPr>
          <w:color w:val="auto"/>
          <w:szCs w:val="28"/>
        </w:rPr>
        <w:t>В</w:t>
      </w:r>
      <w:r w:rsidR="0093166D" w:rsidRPr="002A471D">
        <w:rPr>
          <w:color w:val="auto"/>
          <w:szCs w:val="28"/>
        </w:rPr>
        <w:t>изначення біологічної доступності. Абсолютна та відносна біологічна доступність.</w:t>
      </w:r>
    </w:p>
    <w:p w:rsidR="0093166D" w:rsidRPr="002A471D" w:rsidRDefault="0093166D" w:rsidP="00F955D3">
      <w:pPr>
        <w:pStyle w:val="a4"/>
        <w:numPr>
          <w:ilvl w:val="0"/>
          <w:numId w:val="7"/>
        </w:num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71D">
        <w:rPr>
          <w:rFonts w:ascii="Times New Roman" w:hAnsi="Times New Roman" w:cs="Times New Roman"/>
          <w:sz w:val="28"/>
          <w:szCs w:val="28"/>
          <w:lang w:val="uk-UA"/>
        </w:rPr>
        <w:t>Чинники, які виявляють вплив на біологічну та фармацевтичну доступність</w:t>
      </w:r>
      <w:r w:rsidR="00C73110" w:rsidRPr="002A47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C9B" w:rsidRPr="002A471D" w:rsidRDefault="00460C9B" w:rsidP="00F955D3">
      <w:pPr>
        <w:pStyle w:val="a4"/>
        <w:numPr>
          <w:ilvl w:val="0"/>
          <w:numId w:val="7"/>
        </w:num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71D">
        <w:rPr>
          <w:rFonts w:ascii="Times New Roman" w:hAnsi="Times New Roman" w:cs="Times New Roman"/>
          <w:sz w:val="28"/>
          <w:szCs w:val="28"/>
          <w:lang w:val="uk-UA"/>
        </w:rPr>
        <w:t>Методи контролю для оцінки біологічної та фармацевтичної доступності.</w:t>
      </w:r>
    </w:p>
    <w:p w:rsidR="0072761F" w:rsidRPr="002A471D" w:rsidRDefault="0072761F" w:rsidP="00F955D3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</w:rPr>
      </w:pPr>
      <w:r w:rsidRPr="002A471D">
        <w:rPr>
          <w:color w:val="auto"/>
          <w:szCs w:val="28"/>
        </w:rPr>
        <w:t xml:space="preserve">Фізичний стан </w:t>
      </w:r>
      <w:r w:rsidR="000916F4" w:rsidRPr="002A471D">
        <w:rPr>
          <w:color w:val="auto"/>
          <w:szCs w:val="28"/>
        </w:rPr>
        <w:t>активних фармацевтичних інгредієнтів</w:t>
      </w:r>
      <w:r w:rsidRPr="002A471D">
        <w:rPr>
          <w:color w:val="auto"/>
          <w:szCs w:val="28"/>
        </w:rPr>
        <w:t xml:space="preserve"> та </w:t>
      </w:r>
      <w:r w:rsidR="000916F4" w:rsidRPr="002A471D">
        <w:rPr>
          <w:color w:val="auto"/>
          <w:szCs w:val="28"/>
        </w:rPr>
        <w:t>їх</w:t>
      </w:r>
      <w:r w:rsidRPr="002A471D">
        <w:rPr>
          <w:color w:val="auto"/>
          <w:szCs w:val="28"/>
        </w:rPr>
        <w:t xml:space="preserve"> </w:t>
      </w:r>
      <w:r w:rsidR="000916F4" w:rsidRPr="002A471D">
        <w:rPr>
          <w:color w:val="auto"/>
          <w:szCs w:val="28"/>
        </w:rPr>
        <w:t>роль у біологічній доступності</w:t>
      </w:r>
      <w:r w:rsidRPr="002A471D">
        <w:rPr>
          <w:color w:val="auto"/>
          <w:szCs w:val="28"/>
        </w:rPr>
        <w:t xml:space="preserve"> лікарських препаратів.</w:t>
      </w:r>
    </w:p>
    <w:p w:rsidR="0072761F" w:rsidRPr="002A471D" w:rsidRDefault="0072761F" w:rsidP="00F955D3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</w:rPr>
      </w:pPr>
      <w:r w:rsidRPr="002A471D">
        <w:rPr>
          <w:color w:val="auto"/>
          <w:szCs w:val="28"/>
        </w:rPr>
        <w:t xml:space="preserve">Проста хімічна модифікація </w:t>
      </w:r>
      <w:r w:rsidR="000916F4" w:rsidRPr="002A471D">
        <w:rPr>
          <w:color w:val="auto"/>
          <w:szCs w:val="28"/>
        </w:rPr>
        <w:t xml:space="preserve">лікарських субстанцій </w:t>
      </w:r>
      <w:r w:rsidRPr="002A471D">
        <w:rPr>
          <w:color w:val="auto"/>
          <w:szCs w:val="28"/>
        </w:rPr>
        <w:t>та ї</w:t>
      </w:r>
      <w:r w:rsidR="000916F4" w:rsidRPr="002A471D">
        <w:rPr>
          <w:color w:val="auto"/>
          <w:szCs w:val="28"/>
        </w:rPr>
        <w:t>х</w:t>
      </w:r>
      <w:r w:rsidRPr="002A471D">
        <w:rPr>
          <w:color w:val="auto"/>
          <w:szCs w:val="28"/>
        </w:rPr>
        <w:t xml:space="preserve"> вплив на </w:t>
      </w:r>
      <w:r w:rsidR="000916F4" w:rsidRPr="002A471D">
        <w:rPr>
          <w:color w:val="auto"/>
          <w:szCs w:val="28"/>
        </w:rPr>
        <w:t>терапевти</w:t>
      </w:r>
      <w:r w:rsidRPr="002A471D">
        <w:rPr>
          <w:color w:val="auto"/>
          <w:szCs w:val="28"/>
        </w:rPr>
        <w:t>чний ефект лікарськ</w:t>
      </w:r>
      <w:r w:rsidR="000916F4" w:rsidRPr="002A471D">
        <w:rPr>
          <w:color w:val="auto"/>
          <w:szCs w:val="28"/>
        </w:rPr>
        <w:t>их</w:t>
      </w:r>
      <w:r w:rsidRPr="002A471D">
        <w:rPr>
          <w:color w:val="auto"/>
          <w:szCs w:val="28"/>
        </w:rPr>
        <w:t xml:space="preserve"> препарат</w:t>
      </w:r>
      <w:r w:rsidR="000916F4" w:rsidRPr="002A471D">
        <w:rPr>
          <w:color w:val="auto"/>
          <w:szCs w:val="28"/>
        </w:rPr>
        <w:t>ів</w:t>
      </w:r>
      <w:r w:rsidRPr="002A471D">
        <w:rPr>
          <w:color w:val="auto"/>
          <w:szCs w:val="28"/>
        </w:rPr>
        <w:t>.</w:t>
      </w:r>
    </w:p>
    <w:p w:rsidR="0072761F" w:rsidRPr="002A471D" w:rsidRDefault="00BB506E" w:rsidP="00F955D3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</w:rPr>
      </w:pPr>
      <w:r w:rsidRPr="002A471D">
        <w:rPr>
          <w:color w:val="auto"/>
          <w:szCs w:val="28"/>
        </w:rPr>
        <w:t>Визначення</w:t>
      </w:r>
      <w:r w:rsidR="0072761F" w:rsidRPr="002A471D">
        <w:rPr>
          <w:color w:val="auto"/>
          <w:szCs w:val="28"/>
        </w:rPr>
        <w:t xml:space="preserve"> допоміжних речовин</w:t>
      </w:r>
      <w:r w:rsidRPr="002A471D">
        <w:rPr>
          <w:color w:val="auto"/>
          <w:szCs w:val="28"/>
        </w:rPr>
        <w:t>,</w:t>
      </w:r>
      <w:r w:rsidR="0072761F" w:rsidRPr="002A471D">
        <w:rPr>
          <w:color w:val="auto"/>
          <w:szCs w:val="28"/>
        </w:rPr>
        <w:t xml:space="preserve"> </w:t>
      </w:r>
      <w:r w:rsidRPr="002A471D">
        <w:rPr>
          <w:color w:val="auto"/>
          <w:szCs w:val="28"/>
        </w:rPr>
        <w:t>їх класифікація та роль у</w:t>
      </w:r>
      <w:r w:rsidR="0072761F" w:rsidRPr="002A471D">
        <w:rPr>
          <w:color w:val="auto"/>
          <w:szCs w:val="28"/>
        </w:rPr>
        <w:t xml:space="preserve"> технології лік</w:t>
      </w:r>
      <w:r w:rsidR="00E15E7C" w:rsidRPr="002A471D">
        <w:rPr>
          <w:color w:val="auto"/>
          <w:szCs w:val="28"/>
        </w:rPr>
        <w:t>ів</w:t>
      </w:r>
      <w:r w:rsidR="0072761F" w:rsidRPr="002A471D">
        <w:rPr>
          <w:color w:val="auto"/>
          <w:szCs w:val="28"/>
        </w:rPr>
        <w:t xml:space="preserve">. Вплив природи допоміжних речовин на </w:t>
      </w:r>
      <w:r w:rsidR="00517962" w:rsidRPr="002A471D">
        <w:rPr>
          <w:color w:val="auto"/>
          <w:szCs w:val="28"/>
        </w:rPr>
        <w:t>біологічну доступність лікарських препаратів</w:t>
      </w:r>
      <w:r w:rsidR="0072761F" w:rsidRPr="002A471D">
        <w:rPr>
          <w:color w:val="auto"/>
          <w:szCs w:val="28"/>
        </w:rPr>
        <w:t>.</w:t>
      </w:r>
    </w:p>
    <w:p w:rsidR="0072761F" w:rsidRPr="002A471D" w:rsidRDefault="0072761F" w:rsidP="00F955D3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</w:rPr>
      </w:pPr>
      <w:bookmarkStart w:id="2" w:name="_Hlk504621054"/>
      <w:r w:rsidRPr="002A471D">
        <w:rPr>
          <w:color w:val="auto"/>
          <w:szCs w:val="28"/>
        </w:rPr>
        <w:t xml:space="preserve">Вплив технологічних </w:t>
      </w:r>
      <w:r w:rsidR="00517962" w:rsidRPr="002A471D">
        <w:rPr>
          <w:color w:val="auto"/>
          <w:szCs w:val="28"/>
        </w:rPr>
        <w:t>прийомів</w:t>
      </w:r>
      <w:r w:rsidRPr="002A471D">
        <w:rPr>
          <w:color w:val="auto"/>
          <w:szCs w:val="28"/>
        </w:rPr>
        <w:t xml:space="preserve"> </w:t>
      </w:r>
      <w:r w:rsidR="00F955D3">
        <w:rPr>
          <w:color w:val="auto"/>
          <w:szCs w:val="28"/>
        </w:rPr>
        <w:t xml:space="preserve">та </w:t>
      </w:r>
      <w:r w:rsidR="00F955D3" w:rsidRPr="002A471D">
        <w:rPr>
          <w:color w:val="auto"/>
          <w:szCs w:val="28"/>
        </w:rPr>
        <w:t xml:space="preserve">виду лікарської форми </w:t>
      </w:r>
      <w:r w:rsidRPr="002A471D">
        <w:rPr>
          <w:color w:val="auto"/>
          <w:szCs w:val="28"/>
        </w:rPr>
        <w:t xml:space="preserve">на </w:t>
      </w:r>
      <w:bookmarkEnd w:id="2"/>
      <w:r w:rsidR="00517962" w:rsidRPr="002A471D">
        <w:rPr>
          <w:color w:val="auto"/>
          <w:szCs w:val="28"/>
        </w:rPr>
        <w:t>біологічну доступність лікарських препаратів.</w:t>
      </w:r>
    </w:p>
    <w:p w:rsidR="0072761F" w:rsidRPr="002A471D" w:rsidRDefault="00F41FCB" w:rsidP="00F955D3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</w:rPr>
      </w:pPr>
      <w:r w:rsidRPr="002A471D">
        <w:rPr>
          <w:color w:val="auto"/>
          <w:szCs w:val="28"/>
        </w:rPr>
        <w:t>Б</w:t>
      </w:r>
      <w:r w:rsidR="0072761F" w:rsidRPr="002A471D">
        <w:rPr>
          <w:color w:val="auto"/>
          <w:szCs w:val="28"/>
        </w:rPr>
        <w:t>іологічні чинники</w:t>
      </w:r>
      <w:r w:rsidRPr="002A471D">
        <w:rPr>
          <w:color w:val="auto"/>
          <w:szCs w:val="28"/>
        </w:rPr>
        <w:t xml:space="preserve"> та їх</w:t>
      </w:r>
      <w:r w:rsidR="0072761F" w:rsidRPr="002A471D">
        <w:rPr>
          <w:color w:val="auto"/>
          <w:szCs w:val="28"/>
        </w:rPr>
        <w:t xml:space="preserve"> вплив на </w:t>
      </w:r>
      <w:r w:rsidRPr="002A471D">
        <w:rPr>
          <w:color w:val="auto"/>
          <w:szCs w:val="28"/>
        </w:rPr>
        <w:t xml:space="preserve">процес </w:t>
      </w:r>
      <w:r w:rsidR="0072761F" w:rsidRPr="002A471D">
        <w:rPr>
          <w:color w:val="auto"/>
          <w:szCs w:val="28"/>
        </w:rPr>
        <w:t xml:space="preserve">всмоктування лікарських речовин при різних способах </w:t>
      </w:r>
      <w:r w:rsidR="0093166D" w:rsidRPr="002A471D">
        <w:rPr>
          <w:color w:val="auto"/>
          <w:szCs w:val="28"/>
        </w:rPr>
        <w:t>у</w:t>
      </w:r>
      <w:r w:rsidR="0072761F" w:rsidRPr="002A471D">
        <w:rPr>
          <w:color w:val="auto"/>
          <w:szCs w:val="28"/>
        </w:rPr>
        <w:t>ведення</w:t>
      </w:r>
      <w:r w:rsidR="0093166D" w:rsidRPr="002A471D">
        <w:rPr>
          <w:color w:val="auto"/>
          <w:szCs w:val="28"/>
        </w:rPr>
        <w:t xml:space="preserve"> </w:t>
      </w:r>
      <w:r w:rsidR="00C73110" w:rsidRPr="002A471D">
        <w:rPr>
          <w:color w:val="auto"/>
          <w:szCs w:val="28"/>
        </w:rPr>
        <w:t xml:space="preserve">лікарських </w:t>
      </w:r>
      <w:r w:rsidR="0093166D" w:rsidRPr="002A471D">
        <w:rPr>
          <w:color w:val="auto"/>
          <w:szCs w:val="28"/>
        </w:rPr>
        <w:t>препаратів</w:t>
      </w:r>
      <w:r w:rsidR="0072761F" w:rsidRPr="002A471D">
        <w:rPr>
          <w:color w:val="auto"/>
          <w:szCs w:val="28"/>
        </w:rPr>
        <w:t>.</w:t>
      </w:r>
    </w:p>
    <w:p w:rsidR="004C4581" w:rsidRPr="002A471D" w:rsidRDefault="004C4581" w:rsidP="00F955D3">
      <w:pPr>
        <w:pStyle w:val="a4"/>
        <w:numPr>
          <w:ilvl w:val="0"/>
          <w:numId w:val="7"/>
        </w:numPr>
        <w:tabs>
          <w:tab w:val="left" w:pos="34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504622203"/>
      <w:r w:rsidRPr="002A471D">
        <w:rPr>
          <w:rFonts w:ascii="Times New Roman" w:hAnsi="Times New Roman" w:cs="Times New Roman"/>
          <w:sz w:val="28"/>
          <w:szCs w:val="28"/>
          <w:lang w:val="uk-UA"/>
        </w:rPr>
        <w:t>Біофармацевтичні методи вивчення лікарських препаратів «</w:t>
      </w:r>
      <w:r w:rsidRPr="002A471D">
        <w:rPr>
          <w:rFonts w:ascii="Times New Roman" w:hAnsi="Times New Roman" w:cs="Times New Roman"/>
          <w:i/>
          <w:sz w:val="28"/>
          <w:szCs w:val="28"/>
          <w:lang w:val="uk-UA"/>
        </w:rPr>
        <w:t>in vitro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>» та «</w:t>
      </w:r>
      <w:r w:rsidRPr="002A471D">
        <w:rPr>
          <w:rFonts w:ascii="Times New Roman" w:hAnsi="Times New Roman" w:cs="Times New Roman"/>
          <w:i/>
          <w:sz w:val="28"/>
          <w:szCs w:val="28"/>
          <w:lang w:val="uk-UA"/>
        </w:rPr>
        <w:t>in vivo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>».</w:t>
      </w:r>
      <w:bookmarkEnd w:id="3"/>
    </w:p>
    <w:p w:rsidR="00C73110" w:rsidRPr="002A471D" w:rsidRDefault="00C73110" w:rsidP="00F955D3">
      <w:pPr>
        <w:pStyle w:val="a4"/>
        <w:numPr>
          <w:ilvl w:val="0"/>
          <w:numId w:val="7"/>
        </w:numPr>
        <w:tabs>
          <w:tab w:val="left" w:pos="34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71D">
        <w:rPr>
          <w:rFonts w:ascii="Times New Roman" w:hAnsi="Times New Roman" w:cs="Times New Roman"/>
          <w:sz w:val="28"/>
          <w:szCs w:val="28"/>
          <w:lang w:val="uk-UA"/>
        </w:rPr>
        <w:t>Біофармацевтичні методи визначення вивільнення лікарських речовин (діаліз, дифузія в гель, роздільний тощо).</w:t>
      </w:r>
    </w:p>
    <w:p w:rsidR="00B15AF3" w:rsidRPr="002A471D" w:rsidRDefault="00F81DF1" w:rsidP="00F955D3">
      <w:pPr>
        <w:pStyle w:val="a4"/>
        <w:numPr>
          <w:ilvl w:val="0"/>
          <w:numId w:val="7"/>
        </w:numPr>
        <w:tabs>
          <w:tab w:val="left" w:pos="3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71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15AF3" w:rsidRPr="002A471D">
        <w:rPr>
          <w:rFonts w:ascii="Times New Roman" w:hAnsi="Times New Roman" w:cs="Times New Roman"/>
          <w:sz w:val="28"/>
          <w:szCs w:val="28"/>
          <w:lang w:val="uk-UA"/>
        </w:rPr>
        <w:t>араметр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>и, які</w:t>
      </w:r>
      <w:r w:rsidR="00B15AF3" w:rsidRPr="002A471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5AF3" w:rsidRPr="002A471D">
        <w:rPr>
          <w:rFonts w:ascii="Times New Roman" w:hAnsi="Times New Roman" w:cs="Times New Roman"/>
          <w:sz w:val="28"/>
          <w:szCs w:val="28"/>
          <w:lang w:val="uk-UA"/>
        </w:rPr>
        <w:t>дл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>яг</w:t>
      </w:r>
      <w:r w:rsidR="00B15AF3" w:rsidRPr="002A471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15AF3" w:rsidRPr="002A471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15AF3" w:rsidRPr="002A471D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при 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>визначенні</w:t>
      </w:r>
      <w:r w:rsidR="00B15AF3" w:rsidRPr="002A4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>швидкості</w:t>
      </w:r>
      <w:r w:rsidR="00B15AF3" w:rsidRPr="002A471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>озчиненн</w:t>
      </w:r>
      <w:r w:rsidR="00B15AF3" w:rsidRPr="002A471D">
        <w:rPr>
          <w:rFonts w:ascii="Times New Roman" w:hAnsi="Times New Roman" w:cs="Times New Roman"/>
          <w:sz w:val="28"/>
          <w:szCs w:val="28"/>
          <w:lang w:val="uk-UA"/>
        </w:rPr>
        <w:t>я активно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B15AF3" w:rsidRPr="002A4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>фармацевтичного інгредієнта</w:t>
      </w:r>
      <w:r w:rsidR="00D41C65" w:rsidRPr="002A47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5AF3" w:rsidRDefault="00B15AF3" w:rsidP="00F955D3">
      <w:pPr>
        <w:pStyle w:val="a4"/>
        <w:numPr>
          <w:ilvl w:val="0"/>
          <w:numId w:val="7"/>
        </w:numPr>
        <w:tabs>
          <w:tab w:val="left" w:pos="3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71D">
        <w:rPr>
          <w:rFonts w:ascii="Times New Roman" w:hAnsi="Times New Roman" w:cs="Times New Roman"/>
          <w:sz w:val="28"/>
          <w:szCs w:val="28"/>
          <w:lang w:val="uk-UA"/>
        </w:rPr>
        <w:t>Формул</w:t>
      </w:r>
      <w:r w:rsidR="00EA1374" w:rsidRPr="002A471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1C65" w:rsidRPr="002A471D">
        <w:rPr>
          <w:rFonts w:ascii="Times New Roman" w:hAnsi="Times New Roman" w:cs="Times New Roman"/>
          <w:sz w:val="28"/>
          <w:szCs w:val="28"/>
          <w:lang w:val="uk-UA"/>
        </w:rPr>
        <w:t>що використовуються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 xml:space="preserve"> при р</w:t>
      </w:r>
      <w:r w:rsidR="00D41C65" w:rsidRPr="002A471D">
        <w:rPr>
          <w:rFonts w:ascii="Times New Roman" w:hAnsi="Times New Roman" w:cs="Times New Roman"/>
          <w:sz w:val="28"/>
          <w:szCs w:val="28"/>
          <w:lang w:val="uk-UA"/>
        </w:rPr>
        <w:t>озрахунку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D41C65" w:rsidRPr="002A47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>оло</w:t>
      </w:r>
      <w:r w:rsidR="0064347D" w:rsidRPr="002A471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41C65" w:rsidRPr="002A47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41C65" w:rsidRPr="002A471D">
        <w:rPr>
          <w:rFonts w:ascii="Times New Roman" w:hAnsi="Times New Roman" w:cs="Times New Roman"/>
          <w:sz w:val="28"/>
          <w:szCs w:val="28"/>
          <w:lang w:val="uk-UA"/>
        </w:rPr>
        <w:t>ної та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 xml:space="preserve"> фармацевтич</w:t>
      </w:r>
      <w:r w:rsidR="00D41C65" w:rsidRPr="002A471D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 xml:space="preserve"> доступност</w:t>
      </w:r>
      <w:r w:rsidR="00D41C65" w:rsidRPr="002A471D">
        <w:rPr>
          <w:rFonts w:ascii="Times New Roman" w:hAnsi="Times New Roman" w:cs="Times New Roman"/>
          <w:sz w:val="28"/>
          <w:szCs w:val="28"/>
          <w:lang w:val="uk-UA"/>
        </w:rPr>
        <w:t>і різних лікарських форм</w:t>
      </w:r>
      <w:r w:rsidRPr="002A47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5D3" w:rsidRPr="002A471D" w:rsidRDefault="00F955D3" w:rsidP="00F955D3">
      <w:pPr>
        <w:pStyle w:val="a4"/>
        <w:numPr>
          <w:ilvl w:val="0"/>
          <w:numId w:val="7"/>
        </w:numPr>
        <w:tabs>
          <w:tab w:val="left" w:pos="3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71D">
        <w:rPr>
          <w:rFonts w:ascii="Times New Roman" w:hAnsi="Times New Roman" w:cs="Times New Roman"/>
          <w:sz w:val="28"/>
          <w:szCs w:val="28"/>
          <w:lang w:val="uk-UA"/>
        </w:rPr>
        <w:t>Прилади, які використовують для визначення швидкості розчинення твердих лікарських форм.</w:t>
      </w:r>
    </w:p>
    <w:p w:rsidR="00475C72" w:rsidRPr="00F955D3" w:rsidRDefault="00F955D3" w:rsidP="00F955D3">
      <w:pPr>
        <w:pStyle w:val="a4"/>
        <w:numPr>
          <w:ilvl w:val="0"/>
          <w:numId w:val="7"/>
        </w:numPr>
        <w:tabs>
          <w:tab w:val="left" w:pos="3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D3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біоеквівалентності. Клінічний та фармацевтичний еквівалент. </w:t>
      </w:r>
      <w:bookmarkStart w:id="4" w:name="_Hlk504621868"/>
      <w:r w:rsidRPr="00F955D3">
        <w:rPr>
          <w:rFonts w:ascii="Times New Roman" w:hAnsi="Times New Roman" w:cs="Times New Roman"/>
          <w:sz w:val="28"/>
          <w:szCs w:val="28"/>
          <w:lang w:val="uk-UA"/>
        </w:rPr>
        <w:t>Визначення еквівалентності лікарських препаратів методами «in vitrо».</w:t>
      </w:r>
      <w:bookmarkEnd w:id="4"/>
    </w:p>
    <w:p w:rsidR="00EA557E" w:rsidRPr="00F955D3" w:rsidRDefault="00EA557E" w:rsidP="00F955D3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</w:rPr>
      </w:pPr>
      <w:r w:rsidRPr="00F955D3">
        <w:rPr>
          <w:color w:val="auto"/>
          <w:szCs w:val="28"/>
        </w:rPr>
        <w:t xml:space="preserve">Взаємодія лікарських засобів та їх терапевтична ефективність. </w:t>
      </w:r>
      <w:r w:rsidRPr="00F955D3">
        <w:rPr>
          <w:bCs/>
          <w:szCs w:val="28"/>
        </w:rPr>
        <w:t xml:space="preserve">Особливості фармакокінетичної взаємодії </w:t>
      </w:r>
      <w:r w:rsidRPr="00F955D3">
        <w:rPr>
          <w:color w:val="auto"/>
          <w:szCs w:val="28"/>
        </w:rPr>
        <w:t>лікарських засобів.</w:t>
      </w:r>
    </w:p>
    <w:p w:rsidR="00301443" w:rsidRPr="00F955D3" w:rsidRDefault="00301443" w:rsidP="00F955D3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</w:rPr>
      </w:pPr>
      <w:r w:rsidRPr="00F955D3">
        <w:rPr>
          <w:color w:val="auto"/>
          <w:szCs w:val="28"/>
        </w:rPr>
        <w:t>Побічна дія ліків, її передбачення та наслідки. Фармаконагляд.</w:t>
      </w:r>
    </w:p>
    <w:p w:rsidR="00724ED2" w:rsidRPr="00F955D3" w:rsidRDefault="00905E7D" w:rsidP="00F955D3">
      <w:pPr>
        <w:pStyle w:val="a3"/>
        <w:numPr>
          <w:ilvl w:val="0"/>
          <w:numId w:val="7"/>
        </w:numPr>
        <w:spacing w:before="0" w:line="276" w:lineRule="auto"/>
        <w:ind w:right="0"/>
        <w:rPr>
          <w:szCs w:val="28"/>
        </w:rPr>
      </w:pPr>
      <w:r w:rsidRPr="00FB3561">
        <w:rPr>
          <w:color w:val="auto"/>
          <w:szCs w:val="28"/>
        </w:rPr>
        <w:t>Поняття х</w:t>
      </w:r>
      <w:r w:rsidRPr="00FB3561">
        <w:rPr>
          <w:color w:val="auto"/>
          <w:szCs w:val="28"/>
          <w:lang w:val="ru-RU"/>
        </w:rPr>
        <w:t>ронофармакології та хронофармації.</w:t>
      </w:r>
      <w:r w:rsidRPr="00FB3561">
        <w:rPr>
          <w:color w:val="auto"/>
          <w:szCs w:val="28"/>
        </w:rPr>
        <w:t xml:space="preserve"> Предмет дослідження</w:t>
      </w:r>
      <w:r w:rsidR="00956E06" w:rsidRPr="00FB3561">
        <w:rPr>
          <w:color w:val="auto"/>
          <w:szCs w:val="28"/>
          <w:lang w:val="ru-RU"/>
        </w:rPr>
        <w:t>,</w:t>
      </w:r>
      <w:r w:rsidRPr="00FB3561">
        <w:rPr>
          <w:color w:val="auto"/>
          <w:szCs w:val="28"/>
        </w:rPr>
        <w:t xml:space="preserve"> загальна стратегія</w:t>
      </w:r>
      <w:r w:rsidR="00956E06" w:rsidRPr="00FB3561">
        <w:rPr>
          <w:color w:val="auto"/>
          <w:szCs w:val="28"/>
          <w:lang w:val="ru-RU"/>
        </w:rPr>
        <w:t xml:space="preserve"> </w:t>
      </w:r>
      <w:r w:rsidR="00956E06" w:rsidRPr="00FB3561">
        <w:rPr>
          <w:color w:val="auto"/>
          <w:szCs w:val="28"/>
        </w:rPr>
        <w:t xml:space="preserve">та методологія </w:t>
      </w:r>
      <w:r w:rsidR="002E6A21">
        <w:rPr>
          <w:color w:val="auto"/>
          <w:szCs w:val="28"/>
        </w:rPr>
        <w:t xml:space="preserve">їх </w:t>
      </w:r>
      <w:r w:rsidR="00956E06" w:rsidRPr="00FB3561">
        <w:rPr>
          <w:color w:val="auto"/>
          <w:szCs w:val="28"/>
        </w:rPr>
        <w:t>вивчення</w:t>
      </w:r>
      <w:r w:rsidRPr="00FB3561">
        <w:rPr>
          <w:color w:val="auto"/>
          <w:szCs w:val="28"/>
        </w:rPr>
        <w:t>.</w:t>
      </w:r>
      <w:bookmarkEnd w:id="0"/>
    </w:p>
    <w:sectPr w:rsidR="00724ED2" w:rsidRPr="00F955D3" w:rsidSect="00D24455">
      <w:pgSz w:w="11906" w:h="16838"/>
      <w:pgMar w:top="851" w:right="720" w:bottom="720" w:left="1134" w:header="426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6313"/>
    <w:multiLevelType w:val="hybridMultilevel"/>
    <w:tmpl w:val="13002454"/>
    <w:lvl w:ilvl="0" w:tplc="009A5B20">
      <w:start w:val="1"/>
      <w:numFmt w:val="decimal"/>
      <w:lvlText w:val="%1."/>
      <w:lvlJc w:val="left"/>
      <w:pPr>
        <w:ind w:left="106" w:hanging="211"/>
      </w:pPr>
      <w:rPr>
        <w:rFonts w:ascii="Arial" w:eastAsia="Arial" w:hAnsi="Arial" w:hint="default"/>
        <w:b/>
        <w:bCs/>
        <w:sz w:val="18"/>
        <w:szCs w:val="18"/>
      </w:rPr>
    </w:lvl>
    <w:lvl w:ilvl="1" w:tplc="5DBC5034">
      <w:start w:val="1"/>
      <w:numFmt w:val="bullet"/>
      <w:lvlText w:val="•"/>
      <w:lvlJc w:val="left"/>
      <w:pPr>
        <w:ind w:left="845" w:hanging="211"/>
      </w:pPr>
      <w:rPr>
        <w:rFonts w:hint="default"/>
      </w:rPr>
    </w:lvl>
    <w:lvl w:ilvl="2" w:tplc="33EA1DC4">
      <w:start w:val="1"/>
      <w:numFmt w:val="bullet"/>
      <w:lvlText w:val="•"/>
      <w:lvlJc w:val="left"/>
      <w:pPr>
        <w:ind w:left="1584" w:hanging="211"/>
      </w:pPr>
      <w:rPr>
        <w:rFonts w:hint="default"/>
      </w:rPr>
    </w:lvl>
    <w:lvl w:ilvl="3" w:tplc="27A8A38C">
      <w:start w:val="1"/>
      <w:numFmt w:val="bullet"/>
      <w:lvlText w:val="•"/>
      <w:lvlJc w:val="left"/>
      <w:pPr>
        <w:ind w:left="2324" w:hanging="211"/>
      </w:pPr>
      <w:rPr>
        <w:rFonts w:hint="default"/>
      </w:rPr>
    </w:lvl>
    <w:lvl w:ilvl="4" w:tplc="D0A600E8">
      <w:start w:val="1"/>
      <w:numFmt w:val="bullet"/>
      <w:lvlText w:val="•"/>
      <w:lvlJc w:val="left"/>
      <w:pPr>
        <w:ind w:left="3063" w:hanging="211"/>
      </w:pPr>
      <w:rPr>
        <w:rFonts w:hint="default"/>
      </w:rPr>
    </w:lvl>
    <w:lvl w:ilvl="5" w:tplc="0CC682A4">
      <w:start w:val="1"/>
      <w:numFmt w:val="bullet"/>
      <w:lvlText w:val="•"/>
      <w:lvlJc w:val="left"/>
      <w:pPr>
        <w:ind w:left="3802" w:hanging="211"/>
      </w:pPr>
      <w:rPr>
        <w:rFonts w:hint="default"/>
      </w:rPr>
    </w:lvl>
    <w:lvl w:ilvl="6" w:tplc="4314D29C">
      <w:start w:val="1"/>
      <w:numFmt w:val="bullet"/>
      <w:lvlText w:val="•"/>
      <w:lvlJc w:val="left"/>
      <w:pPr>
        <w:ind w:left="4542" w:hanging="211"/>
      </w:pPr>
      <w:rPr>
        <w:rFonts w:hint="default"/>
      </w:rPr>
    </w:lvl>
    <w:lvl w:ilvl="7" w:tplc="3DE01480">
      <w:start w:val="1"/>
      <w:numFmt w:val="bullet"/>
      <w:lvlText w:val="•"/>
      <w:lvlJc w:val="left"/>
      <w:pPr>
        <w:ind w:left="5281" w:hanging="211"/>
      </w:pPr>
      <w:rPr>
        <w:rFonts w:hint="default"/>
      </w:rPr>
    </w:lvl>
    <w:lvl w:ilvl="8" w:tplc="D7E037A0">
      <w:start w:val="1"/>
      <w:numFmt w:val="bullet"/>
      <w:lvlText w:val="•"/>
      <w:lvlJc w:val="left"/>
      <w:pPr>
        <w:ind w:left="6020" w:hanging="211"/>
      </w:pPr>
      <w:rPr>
        <w:rFonts w:hint="default"/>
      </w:rPr>
    </w:lvl>
  </w:abstractNum>
  <w:abstractNum w:abstractNumId="1">
    <w:nsid w:val="206F679D"/>
    <w:multiLevelType w:val="hybridMultilevel"/>
    <w:tmpl w:val="5DCCF236"/>
    <w:lvl w:ilvl="0" w:tplc="861E8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29A67003"/>
    <w:multiLevelType w:val="hybridMultilevel"/>
    <w:tmpl w:val="F0405A8C"/>
    <w:lvl w:ilvl="0" w:tplc="06D22212">
      <w:start w:val="1"/>
      <w:numFmt w:val="decimal"/>
      <w:lvlText w:val="%1."/>
      <w:lvlJc w:val="left"/>
      <w:pPr>
        <w:ind w:left="106" w:hanging="233"/>
      </w:pPr>
      <w:rPr>
        <w:rFonts w:ascii="Arial" w:eastAsia="Arial" w:hAnsi="Arial" w:hint="default"/>
        <w:sz w:val="18"/>
        <w:szCs w:val="18"/>
      </w:rPr>
    </w:lvl>
    <w:lvl w:ilvl="1" w:tplc="7A6610EE">
      <w:start w:val="1"/>
      <w:numFmt w:val="bullet"/>
      <w:lvlText w:val="•"/>
      <w:lvlJc w:val="left"/>
      <w:pPr>
        <w:ind w:left="845" w:hanging="233"/>
      </w:pPr>
      <w:rPr>
        <w:rFonts w:hint="default"/>
      </w:rPr>
    </w:lvl>
    <w:lvl w:ilvl="2" w:tplc="D6E25E48">
      <w:start w:val="1"/>
      <w:numFmt w:val="bullet"/>
      <w:lvlText w:val="•"/>
      <w:lvlJc w:val="left"/>
      <w:pPr>
        <w:ind w:left="1584" w:hanging="233"/>
      </w:pPr>
      <w:rPr>
        <w:rFonts w:hint="default"/>
      </w:rPr>
    </w:lvl>
    <w:lvl w:ilvl="3" w:tplc="6F7EB732">
      <w:start w:val="1"/>
      <w:numFmt w:val="bullet"/>
      <w:lvlText w:val="•"/>
      <w:lvlJc w:val="left"/>
      <w:pPr>
        <w:ind w:left="2324" w:hanging="233"/>
      </w:pPr>
      <w:rPr>
        <w:rFonts w:hint="default"/>
      </w:rPr>
    </w:lvl>
    <w:lvl w:ilvl="4" w:tplc="9BE08D1A">
      <w:start w:val="1"/>
      <w:numFmt w:val="bullet"/>
      <w:lvlText w:val="•"/>
      <w:lvlJc w:val="left"/>
      <w:pPr>
        <w:ind w:left="3063" w:hanging="233"/>
      </w:pPr>
      <w:rPr>
        <w:rFonts w:hint="default"/>
      </w:rPr>
    </w:lvl>
    <w:lvl w:ilvl="5" w:tplc="9A286C5E">
      <w:start w:val="1"/>
      <w:numFmt w:val="bullet"/>
      <w:lvlText w:val="•"/>
      <w:lvlJc w:val="left"/>
      <w:pPr>
        <w:ind w:left="3802" w:hanging="233"/>
      </w:pPr>
      <w:rPr>
        <w:rFonts w:hint="default"/>
      </w:rPr>
    </w:lvl>
    <w:lvl w:ilvl="6" w:tplc="CF462C08">
      <w:start w:val="1"/>
      <w:numFmt w:val="bullet"/>
      <w:lvlText w:val="•"/>
      <w:lvlJc w:val="left"/>
      <w:pPr>
        <w:ind w:left="4542" w:hanging="233"/>
      </w:pPr>
      <w:rPr>
        <w:rFonts w:hint="default"/>
      </w:rPr>
    </w:lvl>
    <w:lvl w:ilvl="7" w:tplc="7A2E978E">
      <w:start w:val="1"/>
      <w:numFmt w:val="bullet"/>
      <w:lvlText w:val="•"/>
      <w:lvlJc w:val="left"/>
      <w:pPr>
        <w:ind w:left="5281" w:hanging="233"/>
      </w:pPr>
      <w:rPr>
        <w:rFonts w:hint="default"/>
      </w:rPr>
    </w:lvl>
    <w:lvl w:ilvl="8" w:tplc="B50C2292">
      <w:start w:val="1"/>
      <w:numFmt w:val="bullet"/>
      <w:lvlText w:val="•"/>
      <w:lvlJc w:val="left"/>
      <w:pPr>
        <w:ind w:left="6020" w:hanging="233"/>
      </w:pPr>
      <w:rPr>
        <w:rFonts w:hint="default"/>
      </w:rPr>
    </w:lvl>
  </w:abstractNum>
  <w:abstractNum w:abstractNumId="3">
    <w:nsid w:val="2D624700"/>
    <w:multiLevelType w:val="hybridMultilevel"/>
    <w:tmpl w:val="28326CF0"/>
    <w:lvl w:ilvl="0" w:tplc="C80AA33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hint="default"/>
        <w:sz w:val="18"/>
        <w:szCs w:val="18"/>
      </w:rPr>
    </w:lvl>
    <w:lvl w:ilvl="1" w:tplc="6C127294">
      <w:start w:val="1"/>
      <w:numFmt w:val="decimal"/>
      <w:lvlText w:val="%2."/>
      <w:lvlJc w:val="left"/>
      <w:pPr>
        <w:ind w:left="106" w:hanging="216"/>
      </w:pPr>
      <w:rPr>
        <w:rFonts w:ascii="Arial" w:eastAsia="Arial" w:hAnsi="Arial" w:hint="default"/>
        <w:sz w:val="18"/>
        <w:szCs w:val="18"/>
      </w:rPr>
    </w:lvl>
    <w:lvl w:ilvl="2" w:tplc="FDCAF4BE">
      <w:start w:val="1"/>
      <w:numFmt w:val="bullet"/>
      <w:lvlText w:val="•"/>
      <w:lvlJc w:val="left"/>
      <w:pPr>
        <w:ind w:left="1584" w:hanging="216"/>
      </w:pPr>
      <w:rPr>
        <w:rFonts w:hint="default"/>
      </w:rPr>
    </w:lvl>
    <w:lvl w:ilvl="3" w:tplc="A8762B82">
      <w:start w:val="1"/>
      <w:numFmt w:val="bullet"/>
      <w:lvlText w:val="•"/>
      <w:lvlJc w:val="left"/>
      <w:pPr>
        <w:ind w:left="2324" w:hanging="216"/>
      </w:pPr>
      <w:rPr>
        <w:rFonts w:hint="default"/>
      </w:rPr>
    </w:lvl>
    <w:lvl w:ilvl="4" w:tplc="82EAC4CC">
      <w:start w:val="1"/>
      <w:numFmt w:val="bullet"/>
      <w:lvlText w:val="•"/>
      <w:lvlJc w:val="left"/>
      <w:pPr>
        <w:ind w:left="3063" w:hanging="216"/>
      </w:pPr>
      <w:rPr>
        <w:rFonts w:hint="default"/>
      </w:rPr>
    </w:lvl>
    <w:lvl w:ilvl="5" w:tplc="40E8774C">
      <w:start w:val="1"/>
      <w:numFmt w:val="bullet"/>
      <w:lvlText w:val="•"/>
      <w:lvlJc w:val="left"/>
      <w:pPr>
        <w:ind w:left="3802" w:hanging="216"/>
      </w:pPr>
      <w:rPr>
        <w:rFonts w:hint="default"/>
      </w:rPr>
    </w:lvl>
    <w:lvl w:ilvl="6" w:tplc="1CE038D2">
      <w:start w:val="1"/>
      <w:numFmt w:val="bullet"/>
      <w:lvlText w:val="•"/>
      <w:lvlJc w:val="left"/>
      <w:pPr>
        <w:ind w:left="4542" w:hanging="216"/>
      </w:pPr>
      <w:rPr>
        <w:rFonts w:hint="default"/>
      </w:rPr>
    </w:lvl>
    <w:lvl w:ilvl="7" w:tplc="5F50FD5A">
      <w:start w:val="1"/>
      <w:numFmt w:val="bullet"/>
      <w:lvlText w:val="•"/>
      <w:lvlJc w:val="left"/>
      <w:pPr>
        <w:ind w:left="5281" w:hanging="216"/>
      </w:pPr>
      <w:rPr>
        <w:rFonts w:hint="default"/>
      </w:rPr>
    </w:lvl>
    <w:lvl w:ilvl="8" w:tplc="1722D51A">
      <w:start w:val="1"/>
      <w:numFmt w:val="bullet"/>
      <w:lvlText w:val="•"/>
      <w:lvlJc w:val="left"/>
      <w:pPr>
        <w:ind w:left="6020" w:hanging="216"/>
      </w:pPr>
      <w:rPr>
        <w:rFonts w:hint="default"/>
      </w:rPr>
    </w:lvl>
  </w:abstractNum>
  <w:abstractNum w:abstractNumId="4">
    <w:nsid w:val="3D3E36A5"/>
    <w:multiLevelType w:val="hybridMultilevel"/>
    <w:tmpl w:val="12242D96"/>
    <w:lvl w:ilvl="0" w:tplc="861E8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34BC3"/>
    <w:multiLevelType w:val="hybridMultilevel"/>
    <w:tmpl w:val="5DCCF236"/>
    <w:lvl w:ilvl="0" w:tplc="861E8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76723B08"/>
    <w:multiLevelType w:val="hybridMultilevel"/>
    <w:tmpl w:val="AF169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1F"/>
    <w:rsid w:val="00003508"/>
    <w:rsid w:val="000537D4"/>
    <w:rsid w:val="000916F4"/>
    <w:rsid w:val="000C193E"/>
    <w:rsid w:val="00151532"/>
    <w:rsid w:val="001E0C90"/>
    <w:rsid w:val="002A471D"/>
    <w:rsid w:val="002E325B"/>
    <w:rsid w:val="002E6A21"/>
    <w:rsid w:val="00301443"/>
    <w:rsid w:val="00374C7A"/>
    <w:rsid w:val="00460C9B"/>
    <w:rsid w:val="00466B4A"/>
    <w:rsid w:val="0047074C"/>
    <w:rsid w:val="00475C72"/>
    <w:rsid w:val="004C4581"/>
    <w:rsid w:val="00517962"/>
    <w:rsid w:val="00533AB4"/>
    <w:rsid w:val="005E1ED9"/>
    <w:rsid w:val="0064347D"/>
    <w:rsid w:val="00724ED2"/>
    <w:rsid w:val="0072761F"/>
    <w:rsid w:val="00905E7D"/>
    <w:rsid w:val="0093166D"/>
    <w:rsid w:val="00956E06"/>
    <w:rsid w:val="00A6402D"/>
    <w:rsid w:val="00B15AF3"/>
    <w:rsid w:val="00BB506E"/>
    <w:rsid w:val="00C73110"/>
    <w:rsid w:val="00D02595"/>
    <w:rsid w:val="00D41C65"/>
    <w:rsid w:val="00D928A3"/>
    <w:rsid w:val="00DA682A"/>
    <w:rsid w:val="00E15E7C"/>
    <w:rsid w:val="00E37F52"/>
    <w:rsid w:val="00EA1374"/>
    <w:rsid w:val="00EA557E"/>
    <w:rsid w:val="00F41FCB"/>
    <w:rsid w:val="00F513B4"/>
    <w:rsid w:val="00F81DF1"/>
    <w:rsid w:val="00F955D3"/>
    <w:rsid w:val="00F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9BD8-20D2-4182-AC43-3CFCE7E2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761F"/>
    <w:pPr>
      <w:shd w:val="clear" w:color="auto" w:fill="FFFFFF"/>
      <w:spacing w:before="91" w:after="0" w:line="360" w:lineRule="auto"/>
      <w:ind w:left="245" w:right="62" w:hanging="226"/>
      <w:jc w:val="both"/>
    </w:pPr>
    <w:rPr>
      <w:rFonts w:ascii="Times New Roman" w:eastAsia="Times New Roman" w:hAnsi="Times New Roman" w:cs="Times New Roman"/>
      <w:color w:val="000000"/>
      <w:sz w:val="28"/>
      <w:lang w:val="uk-UA" w:eastAsia="ru-RU"/>
    </w:rPr>
  </w:style>
  <w:style w:type="table" w:customStyle="1" w:styleId="TableNormal">
    <w:name w:val="Table Normal"/>
    <w:uiPriority w:val="2"/>
    <w:semiHidden/>
    <w:unhideWhenUsed/>
    <w:qFormat/>
    <w:rsid w:val="000C19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C193E"/>
    <w:pPr>
      <w:widowControl w:val="0"/>
      <w:spacing w:after="0" w:line="240" w:lineRule="auto"/>
      <w:ind w:left="106"/>
    </w:pPr>
    <w:rPr>
      <w:rFonts w:ascii="Arial" w:eastAsia="Arial" w:hAnsi="Arial"/>
      <w:sz w:val="18"/>
      <w:szCs w:val="18"/>
      <w:lang w:val="en-US"/>
    </w:rPr>
  </w:style>
  <w:style w:type="character" w:customStyle="1" w:styleId="a5">
    <w:name w:val="Основний текст Знак"/>
    <w:basedOn w:val="a0"/>
    <w:link w:val="a4"/>
    <w:uiPriority w:val="1"/>
    <w:rsid w:val="000C193E"/>
    <w:rPr>
      <w:rFonts w:ascii="Arial" w:eastAsia="Arial" w:hAnsi="Arial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4C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2018-03-07T20:18:00Z</dcterms:created>
  <dcterms:modified xsi:type="dcterms:W3CDTF">2018-03-11T17:22:00Z</dcterms:modified>
</cp:coreProperties>
</file>