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F00B31" w:rsidTr="00F00B31">
        <w:tc>
          <w:tcPr>
            <w:tcW w:w="5381" w:type="dxa"/>
            <w:vAlign w:val="center"/>
          </w:tcPr>
          <w:p w:rsidR="00F00B31" w:rsidRDefault="00F00B31" w:rsidP="00F00B3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3Font_0"/>
                <w:sz w:val="32"/>
                <w:szCs w:val="32"/>
              </w:rPr>
            </w:pPr>
            <w:r w:rsidRPr="00730E2A">
              <w:rPr>
                <w:rFonts w:ascii="Times New Roman" w:hAnsi="Times New Roman" w:cs="Times New Roman"/>
                <w:b/>
                <w:bCs/>
                <w:noProof/>
                <w:color w:val="006666"/>
                <w:lang w:val="en-GB"/>
              </w:rPr>
              <w:drawing>
                <wp:inline distT="0" distB="0" distL="0" distR="0">
                  <wp:extent cx="1563041" cy="1692000"/>
                  <wp:effectExtent l="0" t="0" r="0" b="3810"/>
                  <wp:docPr id="14" name="Рисунок 14" descr="Эмблема_для_АТ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Эмблема_для_АТ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41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00B31" w:rsidRDefault="00F00B31" w:rsidP="00F00B3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3Font_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6FACE5">
                  <wp:extent cx="1841500" cy="179959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79959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1" w:rsidRPr="00F00B31" w:rsidRDefault="00F00B31" w:rsidP="00F00B31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00B31">
        <w:rPr>
          <w:rFonts w:ascii="Arial" w:hAnsi="Arial" w:cs="Arial"/>
          <w:b/>
          <w:bCs/>
          <w:i/>
          <w:sz w:val="32"/>
          <w:szCs w:val="32"/>
        </w:rPr>
        <w:t>Шановні колеги!</w:t>
      </w:r>
    </w:p>
    <w:p w:rsidR="00F00B31" w:rsidRPr="00F00B31" w:rsidRDefault="00F00B31" w:rsidP="00F00B3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3872EA" w:rsidRDefault="00F00B31" w:rsidP="00F00B31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F00B31">
        <w:rPr>
          <w:rFonts w:ascii="Arial" w:hAnsi="Arial" w:cs="Arial"/>
          <w:bCs/>
          <w:sz w:val="32"/>
          <w:szCs w:val="32"/>
        </w:rPr>
        <w:t xml:space="preserve">Кафедра аптечної технології ліків Національного фармацевтичного університету Міністерства охорони здоров'я і Міністерства освіти і науки України запрошує Вас взяти участь у </w:t>
      </w:r>
      <w:r w:rsidRPr="00F00B31"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Pr="00F00B31">
        <w:rPr>
          <w:rFonts w:ascii="Arial" w:hAnsi="Arial" w:cs="Arial"/>
          <w:b/>
          <w:bCs/>
          <w:sz w:val="32"/>
          <w:szCs w:val="32"/>
        </w:rPr>
        <w:t>І Міжнародній науково-практичній дистанційній конференції</w:t>
      </w:r>
    </w:p>
    <w:p w:rsidR="00F00B31" w:rsidRDefault="00F00B31" w:rsidP="00F00B31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:rsidR="00434BE5" w:rsidRDefault="00F00B31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aps/>
          <w:color w:val="215868" w:themeColor="accent5" w:themeShade="80"/>
          <w:sz w:val="32"/>
          <w:szCs w:val="32"/>
        </w:rPr>
      </w:pPr>
      <w:r w:rsidRPr="00F00B31">
        <w:rPr>
          <w:rFonts w:ascii="Arial" w:hAnsi="Arial" w:cs="Arial"/>
          <w:b/>
          <w:bCs/>
          <w:caps/>
          <w:color w:val="215868" w:themeColor="accent5" w:themeShade="80"/>
          <w:sz w:val="32"/>
          <w:szCs w:val="32"/>
        </w:rPr>
        <w:t>СУЧАСНІ АСПЕКТИ СТВОРЕННЯ екстемпоральних АЛОПАТичних, гомеопатичних І КОСМЕТИЧНИХ лікарських засобів</w:t>
      </w:r>
    </w:p>
    <w:p w:rsidR="00F00B31" w:rsidRDefault="00F00B31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:rsidR="003872EA" w:rsidRPr="00F00B31" w:rsidRDefault="00F00B31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noProof/>
          <w:color w:val="FF0000"/>
          <w:sz w:val="32"/>
          <w:szCs w:val="32"/>
        </w:rPr>
      </w:pPr>
      <w:r w:rsidRPr="00F00B31">
        <w:rPr>
          <w:rFonts w:ascii="Bookman Old Style" w:hAnsi="Bookman Old Style" w:cs="T3Font_2"/>
          <w:b/>
          <w:color w:val="FF0000"/>
          <w:sz w:val="32"/>
          <w:szCs w:val="32"/>
        </w:rPr>
        <w:t>18 березня 2021</w:t>
      </w:r>
      <w:r w:rsidR="003872EA" w:rsidRPr="00F00B31">
        <w:rPr>
          <w:rFonts w:ascii="Bookman Old Style" w:hAnsi="Bookman Old Style" w:cs="T3Font_2"/>
          <w:b/>
          <w:color w:val="FF0000"/>
          <w:sz w:val="32"/>
          <w:szCs w:val="32"/>
        </w:rPr>
        <w:t xml:space="preserve"> </w:t>
      </w:r>
      <w:r w:rsidR="003872EA" w:rsidRPr="00F00B31">
        <w:rPr>
          <w:rFonts w:ascii="Bookman Old Style" w:hAnsi="Bookman Old Style" w:cs="T3Font_0"/>
          <w:b/>
          <w:color w:val="FF0000"/>
          <w:sz w:val="32"/>
          <w:szCs w:val="32"/>
        </w:rPr>
        <w:t>р</w:t>
      </w:r>
      <w:r w:rsidR="003872EA" w:rsidRPr="00F00B31">
        <w:rPr>
          <w:rFonts w:ascii="Bookman Old Style" w:hAnsi="Bookman Old Style" w:cs="T3Font_2"/>
          <w:b/>
          <w:color w:val="FF0000"/>
          <w:sz w:val="32"/>
          <w:szCs w:val="32"/>
        </w:rPr>
        <w:t xml:space="preserve">. </w:t>
      </w:r>
    </w:p>
    <w:p w:rsidR="00F00B31" w:rsidRDefault="00F00B31" w:rsidP="00F00B31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:rsidR="003872EA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434BE5">
        <w:rPr>
          <w:rFonts w:ascii="Bookman Old Style" w:hAnsi="Bookman Old Style" w:cs="T3Font_0"/>
          <w:b/>
          <w:sz w:val="32"/>
          <w:szCs w:val="32"/>
        </w:rPr>
        <w:t>Організатори:</w:t>
      </w:r>
    </w:p>
    <w:p w:rsidR="003872EA" w:rsidRPr="00434BE5" w:rsidRDefault="003872EA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Ка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едра а</w:t>
      </w:r>
      <w:r w:rsidRPr="00434BE5">
        <w:rPr>
          <w:rFonts w:ascii="Bookman Old Style" w:hAnsi="Bookman Old Style" w:cs="T3Font_3"/>
          <w:b/>
          <w:color w:val="632423" w:themeColor="accent2" w:themeShade="80"/>
          <w:sz w:val="32"/>
          <w:szCs w:val="32"/>
        </w:rPr>
        <w:t>п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течної технології ліків Національного</w:t>
      </w: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армацевтичного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</w:p>
    <w:p w:rsidR="00434BE5" w:rsidRPr="00434BE5" w:rsidRDefault="007419B4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sz w:val="32"/>
          <w:szCs w:val="32"/>
        </w:rPr>
      </w:pPr>
      <w:hyperlink r:id="rId8" w:history="1"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atl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Національний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</w:p>
    <w:p w:rsidR="003872EA" w:rsidRPr="00434BE5" w:rsidRDefault="007419B4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32"/>
          <w:szCs w:val="32"/>
        </w:rPr>
      </w:pPr>
      <w:hyperlink r:id="rId9" w:history="1"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3872EA" w:rsidRPr="00581BF6" w:rsidRDefault="00863505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</w:pP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Кон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ф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еренція внесена </w:t>
      </w:r>
      <w:r w:rsidR="00F00B31" w:rsidRPr="00F00B31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до Реєстру з'їздів, конгресів, симпозіумів та науково-практичних конференцій на 2022 р. (Посвідчення № 574 Українського інституту науково-технічної і економічної експертизи від 2 серпня 2021 року).</w:t>
      </w:r>
    </w:p>
    <w:p w:rsidR="00375159" w:rsidRDefault="00375159">
      <w:pPr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  <w:br w:type="page"/>
      </w:r>
    </w:p>
    <w:p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lastRenderedPageBreak/>
        <w:t>ОСНОВНІ НА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Я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МИ 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ОТИ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r w:rsidRPr="00F00B31">
        <w:rPr>
          <w:rFonts w:ascii="Bookman Old Style" w:hAnsi="Bookman Old Style" w:cs="T3Font_1"/>
          <w:sz w:val="28"/>
          <w:szCs w:val="28"/>
        </w:rPr>
        <w:t>Перспективні біологічно активні і сучасні допоміжні речовини.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proofErr w:type="spellStart"/>
      <w:r w:rsidRPr="00F00B31">
        <w:rPr>
          <w:rFonts w:ascii="Bookman Old Style" w:hAnsi="Bookman Old Style" w:cs="T3Font_1"/>
          <w:sz w:val="28"/>
          <w:szCs w:val="28"/>
        </w:rPr>
        <w:t>Біофармацевтичні</w:t>
      </w:r>
      <w:proofErr w:type="spellEnd"/>
      <w:r w:rsidRPr="00F00B31">
        <w:rPr>
          <w:rFonts w:ascii="Bookman Old Style" w:hAnsi="Bookman Old Style" w:cs="T3Font_1"/>
          <w:sz w:val="28"/>
          <w:szCs w:val="28"/>
        </w:rPr>
        <w:t xml:space="preserve"> аспекти створення екстемпоральних лікарських засобів.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r w:rsidRPr="00F00B31">
        <w:rPr>
          <w:rFonts w:ascii="Bookman Old Style" w:hAnsi="Bookman Old Style" w:cs="T3Font_1"/>
          <w:sz w:val="28"/>
          <w:szCs w:val="28"/>
        </w:rPr>
        <w:t>Удосконалення складу і технології алопатичних і гомеопатичних лікарських засобів.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r w:rsidRPr="00F00B31">
        <w:rPr>
          <w:rFonts w:ascii="Bookman Old Style" w:hAnsi="Bookman Old Style" w:cs="T3Font_1"/>
          <w:sz w:val="28"/>
          <w:szCs w:val="28"/>
        </w:rPr>
        <w:t>Законодавче нормування виготовлення і контролю якості екстемпоральних лікарських засобів.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proofErr w:type="spellStart"/>
      <w:r w:rsidRPr="00F00B31">
        <w:rPr>
          <w:rFonts w:ascii="Bookman Old Style" w:hAnsi="Bookman Old Style" w:cs="T3Font_1"/>
          <w:sz w:val="28"/>
          <w:szCs w:val="28"/>
        </w:rPr>
        <w:t>Валідація</w:t>
      </w:r>
      <w:proofErr w:type="spellEnd"/>
      <w:r w:rsidRPr="00F00B31">
        <w:rPr>
          <w:rFonts w:ascii="Bookman Old Style" w:hAnsi="Bookman Old Style" w:cs="T3Font_1"/>
          <w:sz w:val="28"/>
          <w:szCs w:val="28"/>
        </w:rPr>
        <w:t xml:space="preserve"> технологічного процесу виробництва екстемпоральних лікарських засобів.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r w:rsidRPr="00F00B31">
        <w:rPr>
          <w:rFonts w:ascii="Bookman Old Style" w:hAnsi="Bookman Old Style" w:cs="T3Font_1"/>
          <w:sz w:val="28"/>
          <w:szCs w:val="28"/>
        </w:rPr>
        <w:t>Роль навчальних дисциплін «Аптечна технологія ліків», «</w:t>
      </w:r>
      <w:proofErr w:type="spellStart"/>
      <w:r w:rsidRPr="00F00B31">
        <w:rPr>
          <w:rFonts w:ascii="Bookman Old Style" w:hAnsi="Bookman Old Style" w:cs="T3Font_1"/>
          <w:sz w:val="28"/>
          <w:szCs w:val="28"/>
        </w:rPr>
        <w:t>Біофармація</w:t>
      </w:r>
      <w:proofErr w:type="spellEnd"/>
      <w:r w:rsidRPr="00F00B31">
        <w:rPr>
          <w:rFonts w:ascii="Bookman Old Style" w:hAnsi="Bookman Old Style" w:cs="T3Font_1"/>
          <w:sz w:val="28"/>
          <w:szCs w:val="28"/>
        </w:rPr>
        <w:t>» і «Технологія гомеопатичних лікарських засобів» у підготовці студентів за освітньою програмою «Фармація. Промислова фармація».</w:t>
      </w:r>
    </w:p>
    <w:p w:rsidR="00F00B31" w:rsidRPr="00F00B31" w:rsidRDefault="00F00B31" w:rsidP="00747887">
      <w:pPr>
        <w:pStyle w:val="af7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0" w:firstLine="261"/>
        <w:jc w:val="both"/>
        <w:rPr>
          <w:rFonts w:ascii="Bookman Old Style" w:hAnsi="Bookman Old Style" w:cs="T3Font_1"/>
          <w:sz w:val="28"/>
          <w:szCs w:val="28"/>
        </w:rPr>
      </w:pPr>
      <w:r w:rsidRPr="00F00B31">
        <w:rPr>
          <w:rFonts w:ascii="Bookman Old Style" w:hAnsi="Bookman Old Style" w:cs="T3Font_1"/>
          <w:sz w:val="28"/>
          <w:szCs w:val="28"/>
        </w:rPr>
        <w:t>Госпітальна фармація.</w:t>
      </w:r>
    </w:p>
    <w:p w:rsidR="00950432" w:rsidRPr="00863505" w:rsidRDefault="00950432" w:rsidP="00950432">
      <w:pPr>
        <w:pStyle w:val="af7"/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Ї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ЗА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Ш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УЄМО</w:t>
      </w:r>
    </w:p>
    <w:p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Учених, магістрантів, аспірантів, докторантів, співробітників аптечних установ, фармацевтичних фірм, підприємств, викладачів фармацевтичних та медичних навчальних закладів вищої освіти</w:t>
      </w:r>
    </w:p>
    <w:p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ОРМИ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Заочна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(тільки публікація)</w:t>
      </w:r>
    </w:p>
    <w:p w:rsidR="00DD3E57" w:rsidRPr="00950432" w:rsidRDefault="00DD3E57" w:rsidP="00DD3E57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(публікація матеріалів, </w:t>
      </w:r>
      <w:proofErr w:type="spellStart"/>
      <w:r w:rsidRPr="00950432">
        <w:rPr>
          <w:rFonts w:ascii="Bookman Old Style" w:hAnsi="Bookman Old Style" w:cs="Times New Roman"/>
          <w:sz w:val="28"/>
          <w:szCs w:val="28"/>
        </w:rPr>
        <w:t>постерна</w:t>
      </w:r>
      <w:proofErr w:type="spellEnd"/>
      <w:r w:rsidRPr="00950432">
        <w:rPr>
          <w:rFonts w:ascii="Bookman Old Style" w:hAnsi="Bookman Old Style" w:cs="Times New Roman"/>
          <w:sz w:val="28"/>
          <w:szCs w:val="28"/>
        </w:rPr>
        <w:t xml:space="preserve"> чи усна доповідь).</w:t>
      </w:r>
    </w:p>
    <w:p w:rsidR="00DD3E57" w:rsidRPr="00DD3E57" w:rsidRDefault="00DD3E57" w:rsidP="00DD3E57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DD3E57">
        <w:rPr>
          <w:rFonts w:ascii="Bookman Old Style" w:hAnsi="Bookman Old Style" w:cs="Times New Roman"/>
          <w:i/>
          <w:sz w:val="28"/>
          <w:szCs w:val="28"/>
        </w:rPr>
        <w:t>Усна доповідь з публікацією тез погоджується з секретаріатом Оргкомітету і залежить від формату проведення конференції (виступ до 10 хв)</w:t>
      </w:r>
    </w:p>
    <w:p w:rsidR="00950432" w:rsidRDefault="00375159" w:rsidP="00375159">
      <w:pPr>
        <w:tabs>
          <w:tab w:val="left" w:pos="284"/>
        </w:tabs>
        <w:spacing w:before="0" w:after="0" w:line="240" w:lineRule="auto"/>
        <w:jc w:val="center"/>
        <w:rPr>
          <w:rFonts w:ascii="Bookman Old Style" w:hAnsi="Bookman Old Style" w:cs="Times New Roman"/>
          <w:b/>
          <w:i/>
          <w:color w:val="FF0000"/>
          <w:sz w:val="28"/>
          <w:szCs w:val="28"/>
          <w:u w:val="single"/>
        </w:rPr>
      </w:pPr>
      <w:r w:rsidRPr="00375159">
        <w:rPr>
          <w:rFonts w:ascii="Bookman Old Style" w:hAnsi="Bookman Old Style" w:cs="Times New Roman"/>
          <w:b/>
          <w:i/>
          <w:color w:val="FF0000"/>
          <w:sz w:val="28"/>
          <w:szCs w:val="28"/>
          <w:u w:val="single"/>
        </w:rPr>
        <w:t>УЧАСТЬ ТА ПУБЛІКАЦІЯ ТЕЗ БЕЗКОШТОВНА</w:t>
      </w:r>
    </w:p>
    <w:p w:rsidR="00375159" w:rsidRPr="00375159" w:rsidRDefault="00375159" w:rsidP="00375159">
      <w:pPr>
        <w:tabs>
          <w:tab w:val="left" w:pos="284"/>
        </w:tabs>
        <w:spacing w:before="0" w:after="0"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ОЧІ МОВИ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Українська, англійська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ІКАЦІ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Матеріали конференції (збірник) та сертифікати учасників будуть розміщені на сайт</w:t>
      </w:r>
      <w:r w:rsidR="007B18C0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і</w:t>
      </w:r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 xml:space="preserve"> кафедри аптечної технології ліків </w:t>
      </w:r>
      <w:proofErr w:type="spellStart"/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НФаУ</w:t>
      </w:r>
      <w:proofErr w:type="spellEnd"/>
    </w:p>
    <w:p w:rsidR="00950432" w:rsidRP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 xml:space="preserve">ВИМОГИ 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ЕНН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надсилаються у форматі MS Word: *.</w:t>
      </w:r>
      <w:proofErr w:type="spellStart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doc</w:t>
      </w:r>
      <w:proofErr w:type="spellEnd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обсяг – </w:t>
      </w:r>
      <w:r w:rsidR="00CB2161" w:rsidRPr="007419B4">
        <w:rPr>
          <w:rFonts w:ascii="Bookman Old Style" w:hAnsi="Bookman Old Style" w:cs="Times New Roman"/>
          <w:b/>
          <w:color w:val="FF0000"/>
          <w:kern w:val="3"/>
          <w:sz w:val="28"/>
          <w:szCs w:val="28"/>
          <w:u w:val="single"/>
          <w:lang w:eastAsia="ru-RU"/>
        </w:rPr>
        <w:t xml:space="preserve">1 або 2 </w:t>
      </w:r>
      <w:r w:rsidR="007419B4" w:rsidRPr="007419B4">
        <w:rPr>
          <w:rFonts w:ascii="Bookman Old Style" w:hAnsi="Bookman Old Style" w:cs="Times New Roman"/>
          <w:b/>
          <w:color w:val="FF0000"/>
          <w:kern w:val="3"/>
          <w:sz w:val="28"/>
          <w:szCs w:val="28"/>
          <w:u w:val="single"/>
          <w:lang w:eastAsia="ru-RU"/>
        </w:rPr>
        <w:t xml:space="preserve">ПОВНИХ </w:t>
      </w:r>
      <w:r w:rsidR="00CB2161" w:rsidRPr="007419B4">
        <w:rPr>
          <w:rFonts w:ascii="Bookman Old Style" w:hAnsi="Bookman Old Style" w:cs="Times New Roman"/>
          <w:b/>
          <w:color w:val="FF0000"/>
          <w:kern w:val="3"/>
          <w:sz w:val="28"/>
          <w:szCs w:val="28"/>
          <w:u w:val="single"/>
          <w:lang w:eastAsia="ru-RU"/>
        </w:rPr>
        <w:t>сторінки</w:t>
      </w:r>
      <w:r w:rsidRPr="007419B4">
        <w:rPr>
          <w:rFonts w:ascii="Bookman Old Style" w:hAnsi="Bookman Old Style" w:cs="Times New Roman"/>
          <w:color w:val="FF0000"/>
          <w:kern w:val="3"/>
          <w:sz w:val="28"/>
          <w:szCs w:val="28"/>
          <w:lang w:eastAsia="ru-RU"/>
        </w:rPr>
        <w:t xml:space="preserve"> 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(Формат А4);</w:t>
      </w:r>
    </w:p>
    <w:p w:rsidR="00950432" w:rsidRPr="007B18C0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</w:pPr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поля – по 2 см з кожного боку;</w:t>
      </w:r>
    </w:p>
    <w:p w:rsidR="00950432" w:rsidRPr="007B18C0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</w:pPr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шрифт – </w:t>
      </w:r>
      <w:proofErr w:type="spellStart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Times</w:t>
      </w:r>
      <w:proofErr w:type="spellEnd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New</w:t>
      </w:r>
      <w:proofErr w:type="spellEnd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Roman</w:t>
      </w:r>
      <w:proofErr w:type="spellEnd"/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, розмір шрифту - 14 пт, міжрядковий інтервал </w:t>
      </w:r>
      <w:r w:rsidR="007B18C0"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1,5 рядка</w:t>
      </w:r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, інтервал перед і після </w:t>
      </w:r>
      <w:r w:rsidRPr="007B18C0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lastRenderedPageBreak/>
        <w:t>абзацу - 0 пт (відсутній), відступ абзацу - 1,25 см (використовувати налаштування на лінійці);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у заголовку вказується: перший рядок - назва (великими літерами, жирним шрифтом), другий рядок - прізвища та ініціали авторів через кому (жирний курсив), третій рядок - повне найменування організації, що подається авторами (жирним шрифтом), через рядок друкується основний текс тез;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вчені звання та наукові ступені авторів не зазначаються;</w:t>
      </w:r>
    </w:p>
    <w:p w:rsidR="00950432" w:rsidRPr="007B18C0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7B18C0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обов'язкова структура тез: вступ, мета дослідження, матеріали та методи, отримані результати та висновки. Скорочення слів і термінів в назві тез не допускаються;</w:t>
      </w:r>
    </w:p>
    <w:p w:rsidR="00950432" w:rsidRPr="007B18C0" w:rsidRDefault="00950432" w:rsidP="004A7B39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7B18C0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при використанні результатів статистичного аналізу даних обов’язковим є зазначення програмного забезпечення та його версії, також слід зазначити методи статистичної обробки, рівень вірогідності при перевірці статистичних гіпотез та розрахувати довірчий інтервал для основних результатів дослідження;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можуть бути ілюстровані чорно-білими таблицями і діаграмами, які виконуються за допомогою функцій Microsoft Word і повинні бути редаговані; на ілюстративний матеріал у тексті повинні бути посилання (див. рис. 1, див. діаграму 2 і т. п.). Число рисунків і / або таблиць в статті не повинно бути більше 2. Дані рисунків не повинні повторювати матеріали таблиць. Таблиці повинні містити узагальнені і статистично оброблені матеріали дослідження, мати номер і заголовок. У таблицях всі графи повинні мати заголовки, цифри і одиниці вимірювання повинні відповідати тексту, скорочення слів не допускаються. У статті скорочення слів допускається тільки з початковим зазначенням повної назви або відповідно до переліку, прийнятим Комітетом стандартів. Одиниці виміру даються відповідно до Міжнародної системи одиниць СІ;</w:t>
      </w:r>
    </w:p>
    <w:p w:rsidR="007B18C0" w:rsidRDefault="007B18C0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</w:p>
    <w:p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Зразок оформлення </w:t>
      </w:r>
      <w:r w:rsidR="007B18C0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матеріалів 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наведено нижче.</w:t>
      </w:r>
      <w:r w:rsidR="007B18C0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Також </w:t>
      </w:r>
    </w:p>
    <w:p w:rsidR="007B18C0" w:rsidRPr="00950432" w:rsidRDefault="007B18C0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</w:p>
    <w:p w:rsidR="007B18C0" w:rsidRPr="007B18C0" w:rsidRDefault="007B18C0" w:rsidP="007B18C0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7B18C0">
        <w:rPr>
          <w:rFonts w:ascii="Bookman Old Style" w:hAnsi="Bookman Old Style" w:cs="Times New Roman"/>
          <w:b/>
          <w:sz w:val="28"/>
          <w:szCs w:val="28"/>
        </w:rPr>
        <w:t xml:space="preserve">Матеріали, оформлені за вимогами, просимо висилати на адресу </w:t>
      </w:r>
      <w:hyperlink r:id="rId10" w:history="1">
        <w:r w:rsidRPr="008A7E57">
          <w:rPr>
            <w:rStyle w:val="af5"/>
            <w:rFonts w:ascii="Bookman Old Style" w:hAnsi="Bookman Old Style" w:cs="Times New Roman"/>
            <w:b/>
            <w:sz w:val="28"/>
            <w:szCs w:val="28"/>
          </w:rPr>
          <w:t>konfatl2021@gmail.com</w:t>
        </w:r>
      </w:hyperlink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7B18C0">
        <w:rPr>
          <w:rFonts w:ascii="Bookman Old Style" w:hAnsi="Bookman Old Style" w:cs="Times New Roman"/>
          <w:b/>
          <w:sz w:val="28"/>
          <w:szCs w:val="28"/>
        </w:rPr>
        <w:t>до 13 березня 2022 року.</w:t>
      </w:r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 xml:space="preserve">Тези мають бути представлені в електронній версії, збереженої у форматі </w:t>
      </w:r>
      <w:r w:rsidRPr="00950432">
        <w:rPr>
          <w:rFonts w:ascii="Bookman Old Style" w:hAnsi="Bookman Old Style" w:cs="Times New Roman"/>
          <w:b/>
          <w:bCs/>
          <w:sz w:val="28"/>
          <w:szCs w:val="28"/>
        </w:rPr>
        <w:t>*</w:t>
      </w:r>
      <w:proofErr w:type="spellStart"/>
      <w:r w:rsidRPr="00950432">
        <w:rPr>
          <w:rFonts w:ascii="Bookman Old Style" w:hAnsi="Bookman Old Style" w:cs="Times New Roman"/>
          <w:b/>
          <w:bCs/>
          <w:sz w:val="28"/>
          <w:szCs w:val="28"/>
        </w:rPr>
        <w:t>doc</w:t>
      </w:r>
      <w:proofErr w:type="spellEnd"/>
      <w:r w:rsidRPr="00950432">
        <w:rPr>
          <w:rFonts w:ascii="Bookman Old Style" w:hAnsi="Bookman Old Style" w:cs="Times New Roman"/>
          <w:b/>
          <w:bCs/>
          <w:sz w:val="28"/>
          <w:szCs w:val="28"/>
        </w:rPr>
        <w:t xml:space="preserve">. </w:t>
      </w:r>
      <w:r w:rsidRPr="00950432">
        <w:rPr>
          <w:rFonts w:ascii="Bookman Old Style" w:hAnsi="Bookman Old Style" w:cs="Times New Roman"/>
          <w:sz w:val="28"/>
          <w:szCs w:val="28"/>
        </w:rPr>
        <w:t>Один файл повинен містити одні тези.</w:t>
      </w:r>
    </w:p>
    <w:p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Назви файлів повинні відповідати першому автору (наприклад, Коваленко І.М.doc). Якщо подається декілька тез або статей одного автора, то файли нумеруються арабськими цифрами (Коваленко І.М.1.doc).</w:t>
      </w:r>
    </w:p>
    <w:p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D15B07" w:rsidRDefault="00D15B07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950432" w:rsidRPr="00950432" w:rsidRDefault="00950432" w:rsidP="00950432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950432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 xml:space="preserve">Зразок оформлення </w:t>
      </w:r>
      <w:r w:rsidR="00375159">
        <w:rPr>
          <w:rFonts w:ascii="Times New Roman" w:eastAsia="Times New Roman" w:hAnsi="Times New Roman" w:cs="Times New Roman"/>
          <w:b/>
          <w:bCs/>
          <w:i/>
          <w:iCs/>
          <w:sz w:val="28"/>
        </w:rPr>
        <w:t>тез</w:t>
      </w:r>
      <w:r w:rsidRPr="00950432">
        <w:rPr>
          <w:rFonts w:ascii="Times New Roman" w:eastAsia="Times New Roman" w:hAnsi="Times New Roman" w:cs="Times New Roman"/>
          <w:b/>
          <w:bCs/>
          <w:i/>
          <w:iCs/>
          <w:sz w:val="28"/>
        </w:rPr>
        <w:t>: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</w:rPr>
      </w:pPr>
      <w:r w:rsidRPr="00950432">
        <w:rPr>
          <w:rFonts w:ascii="Times New Roman" w:eastAsia="Times New Roman" w:hAnsi="Times New Roman" w:cs="Times New Roman"/>
          <w:b/>
          <w:bCs/>
          <w:caps/>
          <w:sz w:val="28"/>
        </w:rPr>
        <w:t>РОЗРОБКА МАЗЕЙ з рослинними екстрактами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950432">
        <w:rPr>
          <w:rFonts w:ascii="Times New Roman" w:eastAsia="Times New Roman" w:hAnsi="Times New Roman" w:cs="Times New Roman"/>
          <w:b/>
          <w:i/>
          <w:sz w:val="28"/>
        </w:rPr>
        <w:t>Коваленко І. М., Сидоренко В. П.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Національний фармацевтичний університет, м. Харків, Україна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Вступ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Мета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Методи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Основні результати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Висновки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3872EA" w:rsidRDefault="003872EA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:rsidR="00D15B07" w:rsidRDefault="00D15B07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t>УМОВИ УЧАСТІ</w:t>
      </w:r>
    </w:p>
    <w:p w:rsidR="00950432" w:rsidRPr="007419B4" w:rsidRDefault="00950432" w:rsidP="007419B4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7419B4">
        <w:rPr>
          <w:rFonts w:ascii="Bookman Old Style" w:hAnsi="Bookman Old Style" w:cs="Times New Roman"/>
          <w:b/>
          <w:color w:val="FF0000"/>
          <w:sz w:val="28"/>
          <w:szCs w:val="28"/>
        </w:rPr>
        <w:t xml:space="preserve">Тези, які не відповідають вказаним вимогам в оформленні, подані з порушенням встановлених термінів будуть повернені авторам для внесення коректив. </w:t>
      </w:r>
    </w:p>
    <w:p w:rsid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Виправлені тези мають бути повернені не пізніше я</w:t>
      </w:r>
      <w:bookmarkStart w:id="0" w:name="_GoBack"/>
      <w:bookmarkEnd w:id="0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 через один тиждень після надсилання авторам. Тези, що не були виправлені, прийматися до розгляду не будуть. За зміст тез відповідальність несе автор. 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t>ОРГАНІЗАЦІЙНИЙ КОМІТЕТ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Національний фармацевтичний університет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Кафедра аптечної технології ліків</w:t>
      </w: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(вул. 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Валентинівська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, 4, м. Харків, 61168).</w:t>
      </w: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Контакти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Відповідальні секретарі: 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к. </w:t>
      </w:r>
      <w:proofErr w:type="spellStart"/>
      <w:r>
        <w:rPr>
          <w:rFonts w:ascii="Bookman Old Style" w:hAnsi="Bookman Old Style" w:cs="Times New Roman"/>
          <w:color w:val="000000" w:themeColor="text1"/>
          <w:sz w:val="28"/>
          <w:szCs w:val="28"/>
        </w:rPr>
        <w:t>фарм</w:t>
      </w:r>
      <w:proofErr w:type="spellEnd"/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к., доц. </w:t>
      </w:r>
      <w:r w:rsidRPr="003762D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Марченко Михайло Володимирович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(+38095-814-18-98)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д. 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фарм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н., доц. </w:t>
      </w: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Семченко Катерина Валентинівна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(+38097-708-82-57)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E-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mail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875CC3">
          <w:rPr>
            <w:rStyle w:val="af5"/>
            <w:rFonts w:ascii="Bookman Old Style" w:hAnsi="Bookman Old Style" w:cs="Times New Roman"/>
            <w:sz w:val="28"/>
            <w:szCs w:val="28"/>
          </w:rPr>
          <w:t>konfatl2021@gmail.com</w:t>
        </w:r>
      </w:hyperlink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3762D5" w:rsidRDefault="003762D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762D5" w:rsidRDefault="003762D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B18C0" w:rsidRDefault="007B18C0">
      <w:pPr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  <w:br w:type="page"/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Оргкомітет конференції: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proofErr w:type="spellStart"/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Котвіцька</w:t>
      </w:r>
      <w:proofErr w:type="spellEnd"/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 xml:space="preserve"> Алла Анатоліївна - </w:t>
      </w:r>
      <w:r w:rsidRPr="00950432">
        <w:rPr>
          <w:rFonts w:ascii="Bookman Old Style" w:hAnsi="Bookman Old Style" w:cs="Times New Roman"/>
          <w:bCs/>
          <w:color w:val="000000" w:themeColor="text1"/>
          <w:sz w:val="28"/>
          <w:szCs w:val="28"/>
        </w:rPr>
        <w:t>ректор Національного фармацевтичного університету, доктор фармацевтичних наук, професор, заслужений діяч науки і техніки України, голова оргкомітету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 xml:space="preserve">Владимирова Інна Миколаївна - </w:t>
      </w:r>
      <w:r w:rsidRPr="00950432">
        <w:rPr>
          <w:rFonts w:ascii="Bookman Old Style" w:hAnsi="Bookman Old Style" w:cs="Times New Roman"/>
          <w:bCs/>
          <w:color w:val="000000" w:themeColor="text1"/>
          <w:sz w:val="28"/>
          <w:szCs w:val="28"/>
        </w:rPr>
        <w:t xml:space="preserve">проректор з наукової роботи </w:t>
      </w:r>
      <w:proofErr w:type="spellStart"/>
      <w:r w:rsidRPr="00950432">
        <w:rPr>
          <w:rFonts w:ascii="Bookman Old Style" w:hAnsi="Bookman Old Style" w:cs="Times New Roman"/>
          <w:bCs/>
          <w:color w:val="000000" w:themeColor="text1"/>
          <w:sz w:val="28"/>
          <w:szCs w:val="28"/>
        </w:rPr>
        <w:t>НФаУ</w:t>
      </w:r>
      <w:proofErr w:type="spellEnd"/>
      <w:r w:rsidRPr="00950432">
        <w:rPr>
          <w:rFonts w:ascii="Bookman Old Style" w:hAnsi="Bookman Old Style" w:cs="Times New Roman"/>
          <w:bCs/>
          <w:color w:val="000000" w:themeColor="text1"/>
          <w:sz w:val="28"/>
          <w:szCs w:val="28"/>
        </w:rPr>
        <w:t>, доктор фармацевтичних наук, професор, член оргкомітету.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 xml:space="preserve">Вишневська Лілія Іванівна 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доктор фармацевтичних наук, професор, завідувач кафедри аптечної технології ліків 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НФаУ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, заступник голови оргкомітету.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 xml:space="preserve">Семченко Катерина Валентинівна 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– доктор фармацевтичних наук, доцент, член оргкомітету.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Ковальова Тетяна Миколаївна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кандидат фармацевтичних наук, доцент, член оргкомітету.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Марченко Михайло Володимирович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кандидат фармацевтичних наук, доцент, член оргкомітету.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Коноваленко Ілона Сергіївна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кандидат фармацевтичних наук,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асистент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, член оргкомітету.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color w:val="E36C0A" w:themeColor="accent6" w:themeShade="BF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  <w:t>Якщо у Вас виникли будь-які питання, звертайтесь, будь ласка, до відповідальних  осіб у зручний для Вас спосіб.</w:t>
      </w: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sectPr w:rsidR="003872EA" w:rsidRPr="00950432" w:rsidSect="00F00B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3Font_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3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1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933D"/>
      </v:shape>
    </w:pict>
  </w:numPicBullet>
  <w:numPicBullet w:numPicBulletId="1">
    <w:pict>
      <v:shape id="_x0000_i1123" type="#_x0000_t75" style="width:11.25pt;height:11.25pt" o:bullet="t">
        <v:imagedata r:id="rId2" o:title=""/>
      </v:shape>
    </w:pict>
  </w:numPicBullet>
  <w:abstractNum w:abstractNumId="0" w15:restartNumberingAfterBreak="0">
    <w:nsid w:val="0C0A0C5E"/>
    <w:multiLevelType w:val="hybridMultilevel"/>
    <w:tmpl w:val="2D1AB3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90364"/>
    <w:multiLevelType w:val="hybridMultilevel"/>
    <w:tmpl w:val="22A43A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544D"/>
    <w:multiLevelType w:val="hybridMultilevel"/>
    <w:tmpl w:val="929A9BBE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1B46399"/>
    <w:multiLevelType w:val="hybridMultilevel"/>
    <w:tmpl w:val="7F3E05A2"/>
    <w:lvl w:ilvl="0" w:tplc="042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24"/>
    <w:rsid w:val="00032B97"/>
    <w:rsid w:val="00312595"/>
    <w:rsid w:val="00375159"/>
    <w:rsid w:val="003762D5"/>
    <w:rsid w:val="003872EA"/>
    <w:rsid w:val="00434BE5"/>
    <w:rsid w:val="00581BF6"/>
    <w:rsid w:val="007419B4"/>
    <w:rsid w:val="00747887"/>
    <w:rsid w:val="007B18C0"/>
    <w:rsid w:val="00863505"/>
    <w:rsid w:val="00950432"/>
    <w:rsid w:val="00A570B1"/>
    <w:rsid w:val="00C331B2"/>
    <w:rsid w:val="00C468C2"/>
    <w:rsid w:val="00CB2161"/>
    <w:rsid w:val="00CD11BA"/>
    <w:rsid w:val="00D15B07"/>
    <w:rsid w:val="00DD3E57"/>
    <w:rsid w:val="00F00B31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5A74"/>
  <w15:chartTrackingRefBased/>
  <w15:docId w15:val="{DFC3279B-FBC5-4E47-85A2-E6DA477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B24"/>
  </w:style>
  <w:style w:type="paragraph" w:styleId="1">
    <w:name w:val="heading 1"/>
    <w:basedOn w:val="a"/>
    <w:next w:val="a"/>
    <w:link w:val="10"/>
    <w:uiPriority w:val="9"/>
    <w:qFormat/>
    <w:rsid w:val="00F57B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B2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B2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B2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B2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B2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B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B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2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7B2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7B2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7B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7B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7B2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B2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57B2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7B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ідзаголовок Знак"/>
    <w:basedOn w:val="a0"/>
    <w:link w:val="a6"/>
    <w:uiPriority w:val="11"/>
    <w:rsid w:val="00F57B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57B24"/>
    <w:rPr>
      <w:b/>
      <w:bCs/>
    </w:rPr>
  </w:style>
  <w:style w:type="character" w:styleId="a9">
    <w:name w:val="Emphasis"/>
    <w:uiPriority w:val="20"/>
    <w:qFormat/>
    <w:rsid w:val="00F57B24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57B2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B24"/>
    <w:rPr>
      <w:i/>
      <w:iCs/>
      <w:sz w:val="24"/>
      <w:szCs w:val="24"/>
    </w:rPr>
  </w:style>
  <w:style w:type="character" w:customStyle="1" w:styleId="ac">
    <w:name w:val="Цитата Знак"/>
    <w:basedOn w:val="a0"/>
    <w:link w:val="ab"/>
    <w:uiPriority w:val="29"/>
    <w:rsid w:val="00F57B24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57B2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Насичена цитата Знак"/>
    <w:basedOn w:val="a0"/>
    <w:link w:val="ad"/>
    <w:uiPriority w:val="30"/>
    <w:rsid w:val="00F57B24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F57B2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7B2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7B2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7B2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7B24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57B24"/>
    <w:pPr>
      <w:outlineLvl w:val="9"/>
    </w:pPr>
  </w:style>
  <w:style w:type="character" w:styleId="af5">
    <w:name w:val="Hyperlink"/>
    <w:basedOn w:val="a0"/>
    <w:uiPriority w:val="99"/>
    <w:unhideWhenUsed/>
    <w:rsid w:val="00434BE5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434BE5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863505"/>
    <w:pPr>
      <w:ind w:left="720"/>
      <w:contextualSpacing/>
    </w:pPr>
  </w:style>
  <w:style w:type="table" w:styleId="af8">
    <w:name w:val="Table Grid"/>
    <w:basedOn w:val="a1"/>
    <w:uiPriority w:val="39"/>
    <w:rsid w:val="00F00B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B1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.nuph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konfatl202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atl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ph.edu.ua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EE50-C012-425B-948C-91720814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4389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2022-02-04T10:19:00Z</cp:lastPrinted>
  <dcterms:created xsi:type="dcterms:W3CDTF">2021-09-23T09:08:00Z</dcterms:created>
  <dcterms:modified xsi:type="dcterms:W3CDTF">2022-02-04T10:27:00Z</dcterms:modified>
</cp:coreProperties>
</file>